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38D1" w:rsidRDefault="003038D1" w:rsidP="003038D1">
      <w:pPr>
        <w:pBdr>
          <w:bottom w:val="single" w:sz="6" w:space="0" w:color="D6DDB9"/>
        </w:pBdr>
        <w:shd w:val="clear" w:color="auto" w:fill="F5F7E7"/>
        <w:spacing w:after="75" w:line="396" w:lineRule="atLeast"/>
        <w:outlineLvl w:val="0"/>
        <w:rPr>
          <w:rFonts w:ascii="Myriad Pro" w:eastAsia="Times New Roman" w:hAnsi="Myriad Pro" w:cs="Times New Roman"/>
          <w:b/>
          <w:bCs/>
          <w:color w:val="666666"/>
          <w:kern w:val="36"/>
          <w:sz w:val="33"/>
          <w:szCs w:val="33"/>
          <w:lang w:eastAsia="it-IT"/>
        </w:rPr>
      </w:pPr>
      <w:r w:rsidRPr="003038D1">
        <w:rPr>
          <w:rFonts w:ascii="Myriad Pro" w:eastAsia="Times New Roman" w:hAnsi="Myriad Pro" w:cs="Times New Roman"/>
          <w:b/>
          <w:bCs/>
          <w:color w:val="666666"/>
          <w:kern w:val="36"/>
          <w:sz w:val="33"/>
          <w:szCs w:val="33"/>
          <w:lang w:eastAsia="it-IT"/>
        </w:rPr>
        <w:t>Le sommarie informazioni delle persone informate sui fatti</w:t>
      </w:r>
    </w:p>
    <w:p w:rsidR="00973C45" w:rsidRPr="003038D1" w:rsidRDefault="00973C45" w:rsidP="003038D1">
      <w:pPr>
        <w:pBdr>
          <w:bottom w:val="single" w:sz="6" w:space="0" w:color="D6DDB9"/>
        </w:pBdr>
        <w:shd w:val="clear" w:color="auto" w:fill="F5F7E7"/>
        <w:spacing w:after="75" w:line="396" w:lineRule="atLeast"/>
        <w:outlineLvl w:val="0"/>
        <w:rPr>
          <w:rFonts w:ascii="Myriad Pro" w:eastAsia="Times New Roman" w:hAnsi="Myriad Pro" w:cs="Times New Roman"/>
          <w:b/>
          <w:bCs/>
          <w:color w:val="666666"/>
          <w:kern w:val="36"/>
          <w:sz w:val="33"/>
          <w:szCs w:val="33"/>
          <w:lang w:eastAsia="it-IT"/>
        </w:rPr>
      </w:pPr>
    </w:p>
    <w:p w:rsidR="003038D1" w:rsidRPr="003038D1" w:rsidRDefault="003038D1" w:rsidP="003038D1">
      <w:pPr>
        <w:shd w:val="clear" w:color="auto" w:fill="F5F7E7"/>
        <w:spacing w:after="0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Le persone c.d. </w:t>
      </w:r>
      <w:r w:rsidRPr="003038D1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informate</w:t>
      </w: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 sono i testimoni potenziali (cioè diventeranno testimoni al momento dell'escussione in dibattimento), che sono e persone non inquisite, ma in grado di riferire circostanze utili ai fini della ricostruzione del fatto e dell'individuazione del colpevole.</w:t>
      </w:r>
    </w:p>
    <w:p w:rsidR="00C50235" w:rsidRDefault="003038D1" w:rsidP="003038D1">
      <w:pPr>
        <w:shd w:val="clear" w:color="auto" w:fill="F5F7E7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Tali persone rendono sommarie informazioni in fase investigativa e testimonianza in sede di incidente probatorio (art. 392) o di dibattimento (art. 468). Le relative dichiarazioni avvengono sempre in assenza di difensore, poiché provengono da soggetti non inquisiti.</w:t>
      </w:r>
    </w:p>
    <w:p w:rsidR="003038D1" w:rsidRPr="003038D1" w:rsidRDefault="003038D1" w:rsidP="003038D1">
      <w:pPr>
        <w:shd w:val="clear" w:color="auto" w:fill="F5F7E7"/>
        <w:spacing w:after="0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Qui non rileva la differenza tra dichiarazioni spontanee (ricevute) e dichiarazioni assunte (provocate). Il regime è, pertanto, sempre identico in riferimento alla forma di documentazione e alla valenza probatoria dell'atto.</w:t>
      </w: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 xml:space="preserve">In ordine alla forma, deve essere sempre redatto verbale (e non già sommariamente annotazione), </w:t>
      </w:r>
      <w:r w:rsidR="00973C45"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giacché</w:t>
      </w: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 xml:space="preserve"> l'atto ha sempre potenzialità probatoria.</w:t>
      </w:r>
    </w:p>
    <w:p w:rsidR="00C50235" w:rsidRDefault="003038D1" w:rsidP="003038D1">
      <w:pPr>
        <w:shd w:val="clear" w:color="auto" w:fill="F5F7E7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L’</w:t>
      </w:r>
      <w:r w:rsidRPr="003038D1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art. 351 c.p.p.</w:t>
      </w: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 disciplina le altre sommarie informazioni utili ai fini delle indagini che la Polizia Giudiziaria (Ufficiali ed Agenti) può ricevere (anche rivolgendo domande) dalla persona offesa, dalla persona danneggiata dal reato e da qualunque persona informata sui fatti per cui si procede (c.d. potenziale testimone) indicazioni e notizie utili ai fini delle indagini.</w:t>
      </w:r>
    </w:p>
    <w:p w:rsidR="00C50235" w:rsidRDefault="003038D1" w:rsidP="003038D1">
      <w:pPr>
        <w:shd w:val="clear" w:color="auto" w:fill="F5F7E7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 La persona è ha l’obbligo di rispondere secondo verità circa le proprie generalità. Tale obbligo è sancito nell’art. 651 che punisce come contravvenzione il rifiuto di dare indicazioni sulla propria identità e su altre qualità personali e nell’art. 495 c.p. che punisce come delitto le false dichiarazioni sulla identità e su qualità personali proprie o altrui.</w:t>
      </w:r>
    </w:p>
    <w:p w:rsidR="00C50235" w:rsidRDefault="003038D1" w:rsidP="003038D1">
      <w:pPr>
        <w:shd w:val="clear" w:color="auto" w:fill="F5F7E7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 xml:space="preserve">Le persone sentite a norma dell’art. 351 c.p.p. hanno l’obbligo di rispondere (riferire ciò che sanno interno ai fatti sui quali vengono sentite) La loro reticenza e la loro falsità non sono punite in </w:t>
      </w:r>
      <w:proofErr w:type="gramStart"/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se</w:t>
      </w:r>
      <w:proofErr w:type="gramEnd"/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 xml:space="preserve"> stesse salvo il fatto che, nelle concrete circostanze, possa configurarsi come reato di favoreggiamento art. 378 c.p.) o di rifiuto di ufficio (art. 652 c.p.) o di calunnia (art. 368 c.p.).</w:t>
      </w:r>
    </w:p>
    <w:p w:rsidR="003038D1" w:rsidRPr="003038D1" w:rsidRDefault="003038D1" w:rsidP="003038D1">
      <w:pPr>
        <w:shd w:val="clear" w:color="auto" w:fill="F5F7E7"/>
        <w:spacing w:after="0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Sono tuttavia previste delle disposizioni che introducono per taluni soggetti delle eccezioni all’obbligo di rendere informazioni (il segreto).</w:t>
      </w:r>
    </w:p>
    <w:p w:rsidR="003038D1" w:rsidRPr="003038D1" w:rsidRDefault="003038D1" w:rsidP="003038D1">
      <w:pPr>
        <w:numPr>
          <w:ilvl w:val="0"/>
          <w:numId w:val="1"/>
        </w:numPr>
        <w:shd w:val="clear" w:color="auto" w:fill="F5F7E7"/>
        <w:spacing w:after="0" w:line="270" w:lineRule="atLeast"/>
        <w:ind w:left="600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Ad </w:t>
      </w:r>
      <w:r w:rsidRPr="003038D1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esempio</w:t>
      </w: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 non possono essere obbligati a deporre:</w:t>
      </w:r>
    </w:p>
    <w:p w:rsidR="003038D1" w:rsidRPr="003038D1" w:rsidRDefault="003038D1" w:rsidP="003038D1">
      <w:pPr>
        <w:numPr>
          <w:ilvl w:val="0"/>
          <w:numId w:val="2"/>
        </w:numPr>
        <w:shd w:val="clear" w:color="auto" w:fill="F5F7E7"/>
        <w:spacing w:after="0" w:line="270" w:lineRule="atLeast"/>
        <w:ind w:left="600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i prossimi congiunti dell’indagato (art. 307 c.p.) [1] salvo che abbiano presentato denuncia, querela;</w:t>
      </w:r>
    </w:p>
    <w:p w:rsidR="003038D1" w:rsidRPr="003038D1" w:rsidRDefault="003038D1" w:rsidP="003038D1">
      <w:pPr>
        <w:numPr>
          <w:ilvl w:val="0"/>
          <w:numId w:val="2"/>
        </w:numPr>
        <w:shd w:val="clear" w:color="auto" w:fill="F5F7E7"/>
        <w:spacing w:after="0" w:line="270" w:lineRule="atLeast"/>
        <w:ind w:left="600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i soggetti che devono attenersi al segreto professionale (art. 200 c.p.), come ad esempio, i medici, gli avvocati;</w:t>
      </w:r>
    </w:p>
    <w:p w:rsidR="003038D1" w:rsidRPr="003038D1" w:rsidRDefault="003038D1" w:rsidP="003038D1">
      <w:pPr>
        <w:numPr>
          <w:ilvl w:val="0"/>
          <w:numId w:val="2"/>
        </w:numPr>
        <w:shd w:val="clear" w:color="auto" w:fill="F5F7E7"/>
        <w:spacing w:after="0" w:line="270" w:lineRule="atLeast"/>
        <w:ind w:left="600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i pubblici Ufficiali, i pubblici impiegati e gli incaricati di un pubblico servizio su ciò che è oggetto di segreto d’ufficio (art. 201) o in caso di fatti coperti dal segreto di Stato (art. 202 c.p.). </w:t>
      </w:r>
    </w:p>
    <w:p w:rsidR="00C50235" w:rsidRDefault="003038D1" w:rsidP="003038D1">
      <w:pPr>
        <w:shd w:val="clear" w:color="auto" w:fill="F5F7E7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L’atto è documentato mediante Annotazione salvo che la Polizia Giudiziaria non ritenga di procedere a verbalizzazione.</w:t>
      </w: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L’atto è documentato mediante Verbale quando le informazioni sono assunte da persone informate sui fatti nel corso delle perquisizioni ovvero sul luogo e nell’immediatezza del fatto (artt. 357 comma 2 e 373 comma 5).</w:t>
      </w: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Previa conservazione di una copia, è trasmesso senza ritardo al Pubblico Ministero e da questi conservato nel fascicolo delle indagini.</w:t>
      </w:r>
    </w:p>
    <w:p w:rsidR="003038D1" w:rsidRPr="003038D1" w:rsidRDefault="003038D1" w:rsidP="003038D1">
      <w:pPr>
        <w:shd w:val="clear" w:color="auto" w:fill="F5F7E7"/>
        <w:spacing w:after="0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Ha un’utilizzabilità piena prima del giudizio se contiene atti irripetibili: dichiarazioni ad irripetibilità originaria (esempio, teste moribondo) e quelle ad irripetibilità sopravvenuta (es. teste successivamente ucciso); e ha utilizzabilità del giudizio dopo le contestazioni nell’ipotesi di dichiarazioni che il testimone ha reso alla Polizia Giudiziaria nel corso delle perquisizioni ovvero sul luogo e nell’immediatezza del fatto (art. 500 comma 4); ha utilizzabilità limitata (per effetto delle contestazioni) in giudizio negli altri casi (art. 500 comma 3).</w:t>
      </w:r>
    </w:p>
    <w:p w:rsidR="003038D1" w:rsidRPr="003038D1" w:rsidRDefault="003038D1" w:rsidP="003038D1">
      <w:pPr>
        <w:shd w:val="clear" w:color="auto" w:fill="F5F7E7"/>
        <w:spacing w:before="240" w:after="240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3038D1">
        <w:rPr>
          <w:rFonts w:ascii="Arial" w:eastAsia="Times New Roman" w:hAnsi="Arial" w:cs="Arial"/>
          <w:color w:val="666666"/>
          <w:sz w:val="18"/>
          <w:szCs w:val="18"/>
          <w:lang w:eastAsia="it-IT"/>
        </w:rPr>
        <w:t> </w:t>
      </w:r>
    </w:p>
    <w:p w:rsidR="003038D1" w:rsidRPr="003038D1" w:rsidRDefault="00973C45" w:rsidP="003038D1">
      <w:pPr>
        <w:shd w:val="clear" w:color="auto" w:fill="F5F7E7"/>
        <w:spacing w:after="0" w:line="240" w:lineRule="auto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>
        <w:rPr>
          <w:rFonts w:ascii="Arial" w:eastAsia="Times New Roman" w:hAnsi="Arial" w:cs="Arial"/>
          <w:color w:val="666666"/>
          <w:sz w:val="18"/>
          <w:szCs w:val="18"/>
          <w:lang w:eastAsia="it-IT"/>
        </w:rPr>
        <w:pict>
          <v:rect id="_x0000_i1025" style="width:0;height:.75pt" o:hralign="center" o:hrstd="t" o:hr="t" fillcolor="#a0a0a0" stroked="f"/>
        </w:pict>
      </w:r>
    </w:p>
    <w:p w:rsidR="003038D1" w:rsidRPr="003038D1" w:rsidRDefault="003038D1" w:rsidP="003038D1">
      <w:pPr>
        <w:shd w:val="clear" w:color="auto" w:fill="F5F7E7"/>
        <w:spacing w:after="0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3038D1">
        <w:rPr>
          <w:rFonts w:ascii="Arial" w:eastAsia="Times New Roman" w:hAnsi="Arial" w:cs="Arial"/>
          <w:color w:val="000000"/>
          <w:sz w:val="21"/>
          <w:szCs w:val="21"/>
          <w:vertAlign w:val="superscript"/>
          <w:lang w:eastAsia="it-IT"/>
        </w:rPr>
        <w:t>[</w:t>
      </w:r>
      <w:r w:rsidRPr="003038D1">
        <w:rPr>
          <w:rFonts w:ascii="Arial" w:eastAsia="Times New Roman" w:hAnsi="Arial" w:cs="Arial"/>
          <w:color w:val="000000"/>
          <w:sz w:val="18"/>
          <w:szCs w:val="18"/>
          <w:vertAlign w:val="superscript"/>
          <w:lang w:eastAsia="it-IT"/>
        </w:rPr>
        <w:t>1]</w:t>
      </w:r>
      <w:r w:rsidRPr="003038D1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 Sono prossimi congiunti: gli ascendenti, i discendenti, il coniuge, fratelli, sorelle, gli affini nello stesso grado (genero, nuora, suoceri, cognati salvo che sia morto il coniuge e non vi sia prole), gli zii e i nipoti, chi è legato all’indagato da vincoli di adozione, chi conviva come coniuge con l’indagato, il coniuge separato dell’indagato.</w:t>
      </w:r>
    </w:p>
    <w:p w:rsidR="003038D1" w:rsidRPr="003038D1" w:rsidRDefault="003038D1" w:rsidP="003038D1">
      <w:pPr>
        <w:shd w:val="clear" w:color="auto" w:fill="F5F7E7"/>
        <w:spacing w:before="240" w:line="240" w:lineRule="auto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3038D1">
        <w:rPr>
          <w:rFonts w:ascii="Arial" w:eastAsia="Times New Roman" w:hAnsi="Arial" w:cs="Arial"/>
          <w:color w:val="666666"/>
          <w:sz w:val="18"/>
          <w:szCs w:val="18"/>
          <w:lang w:eastAsia="it-IT"/>
        </w:rPr>
        <w:t> </w:t>
      </w:r>
    </w:p>
    <w:p w:rsidR="007522BE" w:rsidRDefault="007522BE"/>
    <w:p w:rsidR="003038D1" w:rsidRDefault="003038D1"/>
    <w:p w:rsidR="00C50235" w:rsidRDefault="00C50235"/>
    <w:p w:rsidR="00C50235" w:rsidRDefault="00C50235"/>
    <w:p w:rsidR="00C50235" w:rsidRDefault="00C50235"/>
    <w:p w:rsidR="003038D1" w:rsidRDefault="003038D1" w:rsidP="003038D1">
      <w:pPr>
        <w:pBdr>
          <w:bottom w:val="single" w:sz="6" w:space="0" w:color="D6DDB9"/>
        </w:pBdr>
        <w:shd w:val="clear" w:color="auto" w:fill="F5F7E7"/>
        <w:spacing w:after="75" w:line="396" w:lineRule="atLeast"/>
        <w:outlineLvl w:val="0"/>
        <w:rPr>
          <w:rFonts w:ascii="Myriad Pro" w:eastAsia="Times New Roman" w:hAnsi="Myriad Pro" w:cs="Times New Roman"/>
          <w:bCs/>
          <w:i/>
          <w:color w:val="666666"/>
          <w:kern w:val="36"/>
          <w:sz w:val="33"/>
          <w:szCs w:val="33"/>
          <w:lang w:eastAsia="it-IT"/>
        </w:rPr>
      </w:pPr>
      <w:r w:rsidRPr="00C50235">
        <w:rPr>
          <w:rFonts w:ascii="Myriad Pro" w:eastAsia="Times New Roman" w:hAnsi="Myriad Pro" w:cs="Times New Roman"/>
          <w:bCs/>
          <w:i/>
          <w:color w:val="666666"/>
          <w:kern w:val="36"/>
          <w:sz w:val="33"/>
          <w:szCs w:val="33"/>
          <w:lang w:eastAsia="it-IT"/>
        </w:rPr>
        <w:lastRenderedPageBreak/>
        <w:t>Modus operandi</w:t>
      </w:r>
    </w:p>
    <w:p w:rsidR="00973C45" w:rsidRPr="00C50235" w:rsidRDefault="00973C45" w:rsidP="003038D1">
      <w:pPr>
        <w:pBdr>
          <w:bottom w:val="single" w:sz="6" w:space="0" w:color="D6DDB9"/>
        </w:pBdr>
        <w:shd w:val="clear" w:color="auto" w:fill="F5F7E7"/>
        <w:spacing w:after="75" w:line="396" w:lineRule="atLeast"/>
        <w:outlineLvl w:val="0"/>
        <w:rPr>
          <w:rFonts w:ascii="Myriad Pro" w:eastAsia="Times New Roman" w:hAnsi="Myriad Pro" w:cs="Times New Roman"/>
          <w:bCs/>
          <w:i/>
          <w:color w:val="666666"/>
          <w:kern w:val="36"/>
          <w:sz w:val="33"/>
          <w:szCs w:val="33"/>
          <w:lang w:eastAsia="it-IT"/>
        </w:rPr>
      </w:pPr>
      <w:bookmarkStart w:id="0" w:name="_GoBack"/>
      <w:bookmarkEnd w:id="0"/>
    </w:p>
    <w:p w:rsidR="003038D1" w:rsidRPr="003038D1" w:rsidRDefault="003038D1" w:rsidP="003038D1">
      <w:pPr>
        <w:shd w:val="clear" w:color="auto" w:fill="F5F7E7"/>
        <w:spacing w:after="0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L’</w:t>
      </w:r>
      <w:r w:rsidRPr="003038D1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art. 351 c.p.p.</w:t>
      </w: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 disciplina le altre sommarie informazioni utili ai fini delle indagini che la </w:t>
      </w:r>
      <w:r w:rsidRPr="003038D1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Polizia Giudiziaria</w:t>
      </w: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 (U.P.G. e Agenti) può ricevere (</w:t>
      </w:r>
      <w:r w:rsidRPr="003038D1">
        <w:rPr>
          <w:rFonts w:ascii="Arial" w:eastAsia="Times New Roman" w:hAnsi="Arial" w:cs="Arial"/>
          <w:i/>
          <w:iCs/>
          <w:color w:val="000000"/>
          <w:sz w:val="21"/>
          <w:szCs w:val="21"/>
          <w:lang w:eastAsia="it-IT"/>
        </w:rPr>
        <w:t>anche rivolgendo domande</w:t>
      </w: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) dalla persona offesa, dalla persona danneggiata dal reato e da qualunque persona informata sui fatti per cui si procede (c.d. potenziale testimone) indicazioni e notizie utili ai fini delle indagini.</w:t>
      </w:r>
    </w:p>
    <w:p w:rsidR="003038D1" w:rsidRPr="003038D1" w:rsidRDefault="003038D1" w:rsidP="003038D1">
      <w:pPr>
        <w:numPr>
          <w:ilvl w:val="0"/>
          <w:numId w:val="3"/>
        </w:numPr>
        <w:shd w:val="clear" w:color="auto" w:fill="F5F7E7"/>
        <w:spacing w:after="0" w:line="270" w:lineRule="atLeast"/>
        <w:ind w:left="600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3038D1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Garanzie difensive</w:t>
      </w:r>
    </w:p>
    <w:p w:rsidR="003038D1" w:rsidRPr="003038D1" w:rsidRDefault="003038D1" w:rsidP="003038D1">
      <w:pPr>
        <w:shd w:val="clear" w:color="auto" w:fill="F5F7E7"/>
        <w:spacing w:after="0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Non ne deve essere dato avviso al difensore dell’indagato e l’</w:t>
      </w:r>
      <w:r w:rsidRPr="003038D1">
        <w:rPr>
          <w:rFonts w:ascii="Arial" w:eastAsia="Times New Roman" w:hAnsi="Arial" w:cs="Arial"/>
          <w:b/>
          <w:bCs/>
          <w:color w:val="FF0000"/>
          <w:sz w:val="21"/>
          <w:szCs w:val="21"/>
          <w:u w:val="single"/>
          <w:lang w:eastAsia="it-IT"/>
        </w:rPr>
        <w:t>intervento del difensore non è consentito.</w:t>
      </w:r>
    </w:p>
    <w:p w:rsidR="003038D1" w:rsidRPr="003038D1" w:rsidRDefault="003038D1" w:rsidP="003038D1">
      <w:pPr>
        <w:numPr>
          <w:ilvl w:val="0"/>
          <w:numId w:val="4"/>
        </w:numPr>
        <w:shd w:val="clear" w:color="auto" w:fill="F5F7E7"/>
        <w:spacing w:after="0" w:line="270" w:lineRule="atLeast"/>
        <w:ind w:left="600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3038D1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Adempimenti preliminari</w:t>
      </w:r>
    </w:p>
    <w:p w:rsidR="003038D1" w:rsidRPr="003038D1" w:rsidRDefault="003038D1" w:rsidP="003038D1">
      <w:pPr>
        <w:shd w:val="clear" w:color="auto" w:fill="F5F7E7"/>
        <w:spacing w:after="0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La persona ha l’obbligo di rispondere secondo verità circa le proprie generalità. Tale obbligo è sancito nell’art. 651 che punisce come contravvenzione il rifiuto di dare indicazioni sulla propria identità e su altre qualità personali e nell’art. 496 c.p. che punisce come delitto le false dichiarazioni sulla identità e su qualità personali proprie o altrui.</w:t>
      </w:r>
    </w:p>
    <w:p w:rsidR="003038D1" w:rsidRPr="003038D1" w:rsidRDefault="003038D1" w:rsidP="003038D1">
      <w:pPr>
        <w:shd w:val="clear" w:color="auto" w:fill="F5F7E7"/>
        <w:spacing w:after="0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 xml:space="preserve">Le persone sentite a norma dell’art. 351 c.p.p. hanno l’obbligo di rispondere (riferire ciò che sanno interno ai fatti sui quali vengono sentite) La loro reticenza e la loro falsità non sono punite in </w:t>
      </w:r>
      <w:r w:rsidR="00973C45"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sé</w:t>
      </w: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 xml:space="preserve"> stesse salvo il fatto che, nelle concrete circostanze, possa configurarsi come reato di favoreggiamento art. 378 c.p.) o di rifiuto di ufficio (art. 652 c.p.) o di calunnia (art. 368 c.p.).</w:t>
      </w:r>
    </w:p>
    <w:p w:rsidR="003038D1" w:rsidRPr="003038D1" w:rsidRDefault="003038D1" w:rsidP="003038D1">
      <w:pPr>
        <w:shd w:val="clear" w:color="auto" w:fill="F5F7E7"/>
        <w:spacing w:after="0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Sono tuttavia previste delle disposizioni che introducono per taluni soggetti delle eccezioni all’obbligo di rendere informazioni (il segreto). Ad esempio non possono essere obbligati a deporre:</w:t>
      </w:r>
    </w:p>
    <w:p w:rsidR="003038D1" w:rsidRPr="003038D1" w:rsidRDefault="003038D1" w:rsidP="003038D1">
      <w:pPr>
        <w:numPr>
          <w:ilvl w:val="0"/>
          <w:numId w:val="5"/>
        </w:numPr>
        <w:shd w:val="clear" w:color="auto" w:fill="F5F7E7"/>
        <w:spacing w:after="0" w:line="270" w:lineRule="atLeast"/>
        <w:ind w:left="600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 xml:space="preserve">i prossimi </w:t>
      </w:r>
      <w:proofErr w:type="gramStart"/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congiunti</w:t>
      </w:r>
      <w:r w:rsidRPr="003038D1">
        <w:rPr>
          <w:rFonts w:ascii="Arial" w:eastAsia="Times New Roman" w:hAnsi="Arial" w:cs="Arial"/>
          <w:color w:val="000000"/>
          <w:sz w:val="18"/>
          <w:szCs w:val="18"/>
          <w:vertAlign w:val="superscript"/>
          <w:lang w:eastAsia="it-IT"/>
        </w:rPr>
        <w:t>[</w:t>
      </w:r>
      <w:proofErr w:type="gramEnd"/>
      <w:r w:rsidRPr="003038D1">
        <w:rPr>
          <w:rFonts w:ascii="Arial" w:eastAsia="Times New Roman" w:hAnsi="Arial" w:cs="Arial"/>
          <w:color w:val="000000"/>
          <w:sz w:val="18"/>
          <w:szCs w:val="18"/>
          <w:vertAlign w:val="superscript"/>
          <w:lang w:eastAsia="it-IT"/>
        </w:rPr>
        <w:t>1]</w:t>
      </w: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 dell’indagato (art. 307 c.p.) salvo che abbiano presentato denuncia, querela;</w:t>
      </w:r>
    </w:p>
    <w:p w:rsidR="003038D1" w:rsidRPr="003038D1" w:rsidRDefault="003038D1" w:rsidP="003038D1">
      <w:pPr>
        <w:numPr>
          <w:ilvl w:val="0"/>
          <w:numId w:val="5"/>
        </w:numPr>
        <w:shd w:val="clear" w:color="auto" w:fill="F5F7E7"/>
        <w:spacing w:after="0" w:line="270" w:lineRule="atLeast"/>
        <w:ind w:left="600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i soggetti che devono attenersi al segreto professionale (art. 200 c.p.), come ad esempio, i medici, gli avvocati;</w:t>
      </w:r>
    </w:p>
    <w:p w:rsidR="003038D1" w:rsidRPr="003038D1" w:rsidRDefault="003038D1" w:rsidP="003038D1">
      <w:pPr>
        <w:numPr>
          <w:ilvl w:val="0"/>
          <w:numId w:val="5"/>
        </w:numPr>
        <w:shd w:val="clear" w:color="auto" w:fill="F5F7E7"/>
        <w:spacing w:after="0" w:line="270" w:lineRule="atLeast"/>
        <w:ind w:left="600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i pubblici Ufficiali, i pubblici impiegati e gli incaricati di un pubblico servizio su ciò che è oggetto di segreto d’ufficio (art. 201) o in caso di fatti coperti dal segreto di Stato (art. 202 c.p.).</w:t>
      </w:r>
    </w:p>
    <w:p w:rsidR="003038D1" w:rsidRPr="003038D1" w:rsidRDefault="003038D1" w:rsidP="003038D1">
      <w:pPr>
        <w:numPr>
          <w:ilvl w:val="0"/>
          <w:numId w:val="6"/>
        </w:numPr>
        <w:shd w:val="clear" w:color="auto" w:fill="F5F7E7"/>
        <w:spacing w:after="0" w:line="270" w:lineRule="atLeast"/>
        <w:ind w:left="600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3038D1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Documentazione e trasmissione</w:t>
      </w:r>
    </w:p>
    <w:p w:rsidR="003038D1" w:rsidRPr="003038D1" w:rsidRDefault="003038D1" w:rsidP="003038D1">
      <w:pPr>
        <w:shd w:val="clear" w:color="auto" w:fill="F5F7E7"/>
        <w:spacing w:after="0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L’atto è documentato mediante </w:t>
      </w:r>
      <w:r w:rsidRPr="003038D1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Annotazione</w:t>
      </w: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 salvo che la Polizia Giudiziaria non ritenga di proceder a verbalizzazione.</w:t>
      </w:r>
    </w:p>
    <w:p w:rsidR="003038D1" w:rsidRPr="003038D1" w:rsidRDefault="003038D1" w:rsidP="003038D1">
      <w:pPr>
        <w:shd w:val="clear" w:color="auto" w:fill="F5F7E7"/>
        <w:spacing w:after="0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L’atto è documentato mediante </w:t>
      </w:r>
      <w:r w:rsidRPr="003038D1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Verbale</w:t>
      </w: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 quando le informazioni sono assunte da persone informate sui fatti nel corso delle perquisizioni ovvero sul luogo e nell’immediatezza del fatto (artt. 357 comma 2 e 373 comma 5).</w:t>
      </w:r>
    </w:p>
    <w:p w:rsidR="003038D1" w:rsidRPr="003038D1" w:rsidRDefault="003038D1" w:rsidP="003038D1">
      <w:pPr>
        <w:shd w:val="clear" w:color="auto" w:fill="F5F7E7"/>
        <w:spacing w:after="0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 xml:space="preserve">Previa conservazione di una copia, </w:t>
      </w:r>
      <w:r w:rsidR="00973C45"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è trasmesso</w:t>
      </w: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 xml:space="preserve"> senza ritardo al Pubblico Ministero e da questi conservato nel fascicolo delle indagini.</w:t>
      </w:r>
    </w:p>
    <w:p w:rsidR="003038D1" w:rsidRPr="003038D1" w:rsidRDefault="003038D1" w:rsidP="003038D1">
      <w:pPr>
        <w:numPr>
          <w:ilvl w:val="0"/>
          <w:numId w:val="7"/>
        </w:numPr>
        <w:shd w:val="clear" w:color="auto" w:fill="F5F7E7"/>
        <w:spacing w:after="0" w:line="270" w:lineRule="atLeast"/>
        <w:ind w:left="600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3038D1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Utilizzazione</w:t>
      </w:r>
    </w:p>
    <w:p w:rsidR="003038D1" w:rsidRPr="003038D1" w:rsidRDefault="003038D1" w:rsidP="003038D1">
      <w:pPr>
        <w:shd w:val="clear" w:color="auto" w:fill="F5F7E7"/>
        <w:spacing w:after="0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Ha un’utilizzabilità piena prima del giudizio; e ha utilizzabilità del giudizio dopo le contestazioni nell’ipotesi di dichiarazioni che il testimone ha reso alla Polizia Giudiziaria nel corso delle perquisizioni ovvero sul luogo e nell’immediatezza del fatto (art. 500 comma 4); ha utilizzabilità limitata (per effetto delle contestazioni) in giudizio negli altri casi (art. 500 comma 3</w:t>
      </w:r>
      <w:proofErr w:type="gramStart"/>
      <w:r w:rsidRPr="003038D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)..</w:t>
      </w:r>
      <w:proofErr w:type="gramEnd"/>
    </w:p>
    <w:p w:rsidR="003038D1" w:rsidRPr="003038D1" w:rsidRDefault="003038D1" w:rsidP="003038D1">
      <w:pPr>
        <w:numPr>
          <w:ilvl w:val="0"/>
          <w:numId w:val="8"/>
        </w:numPr>
        <w:shd w:val="clear" w:color="auto" w:fill="F5F7E7"/>
        <w:spacing w:after="0" w:line="270" w:lineRule="atLeast"/>
        <w:ind w:left="600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3038D1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I dati delle sommarie informazioni assunte dai potenziali testimoni vanno inseriti nel CED-SDI.</w:t>
      </w:r>
    </w:p>
    <w:p w:rsidR="003038D1" w:rsidRPr="003038D1" w:rsidRDefault="003038D1" w:rsidP="003038D1">
      <w:pPr>
        <w:shd w:val="clear" w:color="auto" w:fill="F5F7E7"/>
        <w:spacing w:before="240" w:after="240" w:line="240" w:lineRule="auto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3038D1">
        <w:rPr>
          <w:rFonts w:ascii="Arial" w:eastAsia="Times New Roman" w:hAnsi="Arial" w:cs="Arial"/>
          <w:color w:val="666666"/>
          <w:sz w:val="18"/>
          <w:szCs w:val="18"/>
          <w:lang w:eastAsia="it-IT"/>
        </w:rPr>
        <w:t> </w:t>
      </w:r>
    </w:p>
    <w:p w:rsidR="003038D1" w:rsidRPr="003038D1" w:rsidRDefault="00973C45" w:rsidP="003038D1">
      <w:pPr>
        <w:shd w:val="clear" w:color="auto" w:fill="F5F7E7"/>
        <w:spacing w:after="0" w:line="240" w:lineRule="auto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>
        <w:rPr>
          <w:rFonts w:ascii="Arial" w:eastAsia="Times New Roman" w:hAnsi="Arial" w:cs="Arial"/>
          <w:color w:val="666666"/>
          <w:sz w:val="18"/>
          <w:szCs w:val="18"/>
          <w:lang w:eastAsia="it-IT"/>
        </w:rPr>
        <w:pict>
          <v:rect id="_x0000_i1026" style="width:0;height:.75pt" o:hralign="center" o:hrstd="t" o:hr="t" fillcolor="#a0a0a0" stroked="f"/>
        </w:pict>
      </w:r>
    </w:p>
    <w:p w:rsidR="003038D1" w:rsidRPr="003038D1" w:rsidRDefault="003038D1" w:rsidP="003038D1">
      <w:pPr>
        <w:shd w:val="clear" w:color="auto" w:fill="F5F7E7"/>
        <w:spacing w:line="240" w:lineRule="auto"/>
        <w:jc w:val="both"/>
        <w:rPr>
          <w:rFonts w:ascii="Arial" w:eastAsia="Times New Roman" w:hAnsi="Arial" w:cs="Arial"/>
          <w:color w:val="666666"/>
          <w:sz w:val="18"/>
          <w:szCs w:val="18"/>
          <w:lang w:eastAsia="it-IT"/>
        </w:rPr>
      </w:pPr>
      <w:r w:rsidRPr="003038D1">
        <w:rPr>
          <w:rFonts w:ascii="Arial" w:eastAsia="Times New Roman" w:hAnsi="Arial" w:cs="Arial"/>
          <w:color w:val="000000"/>
          <w:sz w:val="18"/>
          <w:szCs w:val="18"/>
          <w:vertAlign w:val="superscript"/>
          <w:lang w:eastAsia="it-IT"/>
        </w:rPr>
        <w:t>[1]</w:t>
      </w:r>
      <w:r w:rsidRPr="003038D1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 Sono prossimi congiunti: gli ascendenti, i discendenti, il coniuge, i fratelli, le sorelle, gli affini nello stesso grado (genero, nuora, suoceri, cognati salvo che sia morto il coniuge e non vi sia prole), gli zii e i nipoti, chi è legato all’indagato da vincoli di adozione, chi conviva come coniuge con l’indagato, il coniuge separato dell’indagato.</w:t>
      </w:r>
    </w:p>
    <w:p w:rsidR="003038D1" w:rsidRDefault="003038D1"/>
    <w:sectPr w:rsidR="003038D1" w:rsidSect="00C502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A83576"/>
    <w:multiLevelType w:val="multilevel"/>
    <w:tmpl w:val="37EA6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12B7CBD"/>
    <w:multiLevelType w:val="multilevel"/>
    <w:tmpl w:val="49B4F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01B6AF3"/>
    <w:multiLevelType w:val="multilevel"/>
    <w:tmpl w:val="6F824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9C3436"/>
    <w:multiLevelType w:val="multilevel"/>
    <w:tmpl w:val="85267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DBB11E3"/>
    <w:multiLevelType w:val="multilevel"/>
    <w:tmpl w:val="A4749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9C75263"/>
    <w:multiLevelType w:val="multilevel"/>
    <w:tmpl w:val="E96E9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1941198"/>
    <w:multiLevelType w:val="multilevel"/>
    <w:tmpl w:val="2C285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F4F5051"/>
    <w:multiLevelType w:val="multilevel"/>
    <w:tmpl w:val="FF2AB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4"/>
  </w:num>
  <w:num w:numId="5">
    <w:abstractNumId w:val="5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8D1"/>
    <w:rsid w:val="003038D1"/>
    <w:rsid w:val="007522BE"/>
    <w:rsid w:val="00973C45"/>
    <w:rsid w:val="00C5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7F6F7"/>
  <w15:chartTrackingRefBased/>
  <w15:docId w15:val="{DBF92D4B-7DFB-4A6A-962C-63A0DD986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Theme="minorHAnsi" w:hAnsi="Cambria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7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0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68358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75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1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6DDB9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36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428833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35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52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6DDB9"/>
                        <w:right w:val="none" w:sz="0" w:space="0" w:color="auto"/>
                      </w:divBdr>
                      <w:divsChild>
                        <w:div w:id="45830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049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37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91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49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592301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945548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2617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669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7965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9189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2528592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4487425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339499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70668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7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869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87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66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837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403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631401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929">
                                  <w:marLeft w:val="15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9462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330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0994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384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9124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4435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5003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6157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3343597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339241">
                                  <w:marLeft w:val="15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7382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4507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23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778294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858461">
                                  <w:marLeft w:val="15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0905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5061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045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25069480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834974">
                                  <w:marLeft w:val="15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1137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3225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4856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45181481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1697658">
                                  <w:marLeft w:val="15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7620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421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2122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7589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6068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86433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89868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1344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46221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40582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847271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4661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9449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2518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5431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08601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6066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13017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4224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38894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44041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94408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3529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05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2794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730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64346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371136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41087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04871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882181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99374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82146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45597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263245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16253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56729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08930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201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6612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278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3895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0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649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169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75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69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68656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4217064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1867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48462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8078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19341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0" w:color="D6DDB9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3003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7569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1104</Words>
  <Characters>6293</Characters>
  <Application>Microsoft Office Word</Application>
  <DocSecurity>0</DocSecurity>
  <Lines>52</Lines>
  <Paragraphs>14</Paragraphs>
  <ScaleCrop>false</ScaleCrop>
  <Company/>
  <LinksUpToDate>false</LinksUpToDate>
  <CharactersWithSpaces>7383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Pradella</dc:creator>
  <cp:keywords/>
  <dc:description/>
  <cp:lastModifiedBy>Max Pradella</cp:lastModifiedBy>
  <cp:revision>3</cp:revision>
  <dcterms:created xsi:type="dcterms:W3CDTF">2021-01-28T16:33:00Z</dcterms:created>
  <dcterms:modified xsi:type="dcterms:W3CDTF">2021-01-28T16:53:00Z</dcterms:modified>
</cp:coreProperties>
</file>